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506</w:t>
      </w:r>
    </w:p>
    <w:p>
      <w:r>
        <w:t>Bundesgericht (BGE), 2017-08-23, FR</w:t>
      </w:r>
    </w:p>
    <w:p>
      <w:r>
        <w:rPr>
          <w:b/>
        </w:rPr>
        <w:t xml:space="preserve">Quelle: </w:t>
      </w:r>
      <w:r>
        <w:t>https://mcp.opencaselaw.ch/entscheid/bge_143 II 506</w:t>
      </w:r>
    </w:p>
    <w:p>
      <w:r>
        <w:t>FR: ATF 143 II 506</w:t>
      </w:r>
    </w:p>
    <w:p>
      <w:r>
        <w:t>IT: DTF 143 II 506</w:t>
      </w:r>
    </w:p>
    <w:p>
      <w:pPr>
        <w:pStyle w:val="Heading2"/>
      </w:pPr>
      <w:r>
        <w:t>Regeste</w:t>
      </w:r>
    </w:p>
    <w:p>
      <w:r>
        <w:t>Regeste Internationale Amtshilfe in Steuerfragen gegenüber den Vereinigten Staaten von Amerika; Übermittlung von Bankunterlagen, die den Namen eines Angestellten enthalten; Parteistellung; DBA CH-US; Art. 4 Abs. 3 und 19 Abs. 2 StAhiG; Art. 48 VwVG; Datenschutzgesetz. Parteistellung und Beschwerdelegitimation eines Bankangestellten, dessen Name in den Unterlagen erscheint, die der ersuchte Staat dem ersuchenden Staat zu übermitteln beabsichtigt. Stellung der Behörden (E. 3). Mangels einschlägiger Bestimmung im DBA CH-US bestimmt das Landesrecht, ob und inwiefern eine direkt oder indirekt durch das Amtshilfegesuch betroffene Person bzw. sogar eine Drittperson, deren Name in den herausgegebenen Unterlagen erscheint, vor der Übermittlung der entsprechenden Informationen zur Beschwerde legitimiert ist; dies gilt unter dem einzigen Vorbehalt, dass die landesrechtlich eingeräumten Verfahrensrechte die Herausgabe von Informationen, zu welcher sich die Schweiz völkerrechtlich verpflichtet hat, nicht in unangemessener Weise behindern (E. 4). Ein Bankangestellter, dessen Name in den zu übermittelnden Unterlagen erscheint, hat ein schützenswertes Interesse im Sinne von Art. 48 VwVG; somit kann dieser am Verfahren teilnehmen und die korrekte Anwendung von Art. 4 Abs. 3 StAhiG prüfen lassen. Diese Möglichkeit ergibt sich in erster Linie aus dem StAhiG, in zweiter Linie aus dem Datenschutzgesetz und vorliegend auch aus dem von einem Zivilrichter gegenüber der Bank ausgesprochenen Verbot, den betreffenden Namen zu übermitteln. Diese Verfahrensrechte behindern nicht in unangemessener Weise die Herausgabe von Informationen an den ersuchenden Staat (E. 5).</w:t>
      </w:r>
    </w:p>
    <w:p>
      <w:pPr>
        <w:pStyle w:val="Heading2"/>
      </w:pPr>
      <w:r>
        <w:t>Erwägungen</w:t>
      </w:r>
    </w:p>
    <w:p>
      <w:r>
        <w:rPr>
          <w:b/>
        </w:rPr>
        <w:t>E. 3</w:t>
      </w:r>
    </w:p>
    <w:p>
      <w:r>
        <w:t>Le litige se limite au point de savoir si le Tribunal administratif fédéral a violé le droit applicable en considérant que l'Administration fédérale ne pouvait déclarer irrecevables les conclusions formées devant elle par l'ex-employé d'une banque qui s'opposait formellement à la transmission de son nom et demandait à ce qu'il reste caviardé.</w:t>
      </w:r>
    </w:p>
    <w:p>
      <w:r>
        <w:rPr>
          <w:b/>
        </w:rPr>
        <w:t>E. 3.1</w:t>
      </w:r>
    </w:p>
    <w:p>
      <w:r>
        <w:t>Il ressort en substance de l'arrêt attaqué que les tiers, tels notamment les employés de banque qui apparaissent dans la documentation et dont l'Administration fédérale n'envisage pas de caviarder les noms dans les documents qu'elle entend transmettre, ont qualité pour recourir, pour démontrer que leurs données n'intéressent pas la procédure en cause. Il appartient donc à l'Administration fédérale de se prononcer sur ce point sous l'angle de l'art. 4 al. 3 de la loi fédérale du 28 septembre 2012 sur l'assistance administrative internationale en matière fiscale (LAAF; RS 651.1) et de la loi fédérale du 19 juin 1992 sur la protection des données (LPD; RS 235.1). Les juges précédents ont en outre ajouté que les renseignements que les autorités américaines peuvent obtenir directement de la part des banques sur la base du Program for non-prosecution agreements or non-target letters for Swiss banks (ci-après: le Programme de régularisation) et ceux qui peuvent être livrés de la part de l'Administration fédérale, à la suite d'une demande d'assistance fondée sur l'art. 26 de la Convention du 2 octobre 1996 entre la Confédération suisse et les BGE 143 II 506 S. 510 Etats-Unis d'Amérique en vue d'éviter les doubles impositions en matière d'impôts sur le revenu (RS 0.672.933.61; ci-après: CDI CH-US), peuvent se recouper. Même si chacune de ces deux procédures est indépendante (certaines décisions civiles prévoient du reste que l'interdiction de livrer les noms ne vaut qu'en relation avec ledit Programme), il convient d'éviter des contradictions qui seraient difficilement compréhensibles. Ainsi, même si l'Administration fédérale n'est pas liée par la décision des juges civils de caviarder le nom de l'intimé, il lui incombe de veiller à une certaine cohérence de l'ordre juridique, ce qui justifie une entrée en matière.</w:t>
      </w:r>
    </w:p>
    <w:p>
      <w:r>
        <w:rPr>
          <w:b/>
        </w:rPr>
        <w:t>E. 3.2</w:t>
      </w:r>
    </w:p>
    <w:p>
      <w:r>
        <w:t>L'Administration fédérale estime pour sa part que l'intimé n'est qu'indirectement concerné par la demande d'assistance administrative du 20 mai 2015 et ne dispose donc pas de la qualité de partie pour requérir le caviardage de ses données. Elle voit dans le raisonnement suivi par le Tribunal administratif fédéral une violation de l'art. 26 CDI CH-US, de l' art. 6 PA (RS 172.021) et des art. 19 al. 2, 15 al. 1 et 14 al. 2 LAAF, en lien avec la création d'un obstacle à la bonne conduite d'un nombre important de procédures, alors que son refus d'entrer en matière était conforme à la jurisprudence du Tribunal fédéral (cf. ATF 139 II 404 consid. 11.1 p. 446 s.). De plus, le principe de la spécialité, dont aucun indice ne permettait d'en déduire qu'il ne serait pas respecté, implique que les informations transmises ne pourront être utilisées qu'en lien avec les impôts dus par la personne concernée par la demande d'assistance administrative. L'intimé n'est donc pas visé et les informations le concernant qui figurent dans les documents bancaires ne pourront être utilisées à son encontre. L'Administration fédérale ajoute toutefois que l'intimé n'est pas un tiers qui n'a manifestement rien à voir avec les agissements faisant l'objet de la demande, de sorte qu'il n'y a pas lieu de caviarder ses données. En effet, l'IRS a exposé qu'elle suspectait que c'était avec l'aide de la Banque, respectivement de ses employés, que la personne concernée aurait utilisé de manière frauduleuse une société de domicile. Quant à l'interdiction prononcée par les juges civils, elle avait été rendue dans un tout autre contexte et n'avait aucune incidence sur la qualité de partie dans la procédure d'assistance administrative.</w:t>
      </w:r>
    </w:p>
    <w:p>
      <w:r>
        <w:rPr>
          <w:b/>
        </w:rPr>
        <w:t>E. 4</w:t>
      </w:r>
    </w:p>
    <w:p>
      <w:r>
        <w:t>L'art. 26 CDI CH-US règle l'échange de renseignements. Il définit le cadre général dans lequel l'échange doit avoir lieu et prévoit notamment que les autorités compétentes des Etats contractants BGE 143 II 506 S. 511 échangent les renseignements (que les législations fiscales des deux Etats contractants permettent d'obtenir) nécessaires pour appliquer les dispositions de la présente Convention, ou pour prévenir les fraudes et délits semblables portant sur un impôt visé par la présente Convention (ch. 1 phrase 1). Le chiffre 3 de l'art. 26 CDI CH-US mentionne pour sa part que les dispositions du présent article ne peuvent en aucun cas être interprétées comme imposant à l'un des Etats contractants l'obligation de prendre des mesures administratives dérogeant à la réglementation propre ou à la pratique administrative de l'un des Etats contractants, ou qui sont contraires à sa souveraineté, à sa sécurité ou à l'ordre public, ou de transmettre des indications qui ne peuvent être obtenues ni sur la base de sa propre législation, ni de celle de l'Etat qui les demande. La CDI CH-US ne contient en revanche aucune disposition de nature procédurale. Savoir si et dans quelle mesure une personne visée (directement ou indirectement) par la demande ou a fortiori un tiers dont le nom figurerait parmi la documentation fournie dispose d'un droit de recours avant la transmission des informations aux autorités requérantes est une question qui, à défaut de disposition topique dans la CDI concernée (cf. art. 1 al. 2 LAAF ), relève de la procédure et dépend des garanties offertes par l'Etat requis. La seule réserve est que les droits procéduraux accordés sur le plan interne ne constituent pas des obstacles entravant de manière inconsidérée la remise d'informations à laquelle la Suisse s'est engagée en vertu du droit international. C'est donc en premier lieu en regard des dispositions procédurales de droit interne, qui figurent en l'occurrence dans la LAAF et dans la PA à laquelle celle-ci renvoie (cf. art. 5 al. 1 LAAF ) qu'il convient d'examiner la question de la recevabilité de l'opposition formée par le recourant auprès de l'Administration fédérale tendant à ce que son nom ne soit pas transmis aux autorités américaines.</w:t>
      </w:r>
    </w:p>
    <w:p>
      <w:r>
        <w:rPr>
          <w:b/>
        </w:rPr>
        <w:t>E. 5.1</w:t>
      </w:r>
    </w:p>
    <w:p>
      <w:r>
        <w:t>Le point de savoir si l'Administration fédérale devait entrer en matière sur la demande formée par l'intimé dépend du statut procédural dont ce dernier peut bénéficier. L' art. 19 al. 2 LAAF prévoit qu'ont qualité pour recourir la personne concernée ainsi que les autres personnes qui remplissent les conditions prévues à l' art. 48 PA . A teneur de l' art. 48 al. 1 PA , a qualité pour recourir quiconque a pris part à la procédure devant l'autorité inférieure ou a été privé de la possibilité de le faire (let. a), est BGE 143 II 506 S. 512 spécialement atteint par la décision attaquée (let. b), et a un intérêt digne de protection à son annulation ou à sa modification (let. c). L'intérêt digne de protection de l' art. 48 al. 1 PA correspond à l'intérêt visé à l' art. 89 al. 1 LTF et doit être interprété de la même manière ( ATF 139 II 328 consid. 3.2 p. 332 s.). Cet intérêt doit être direct et concret; en particulier, la partie recourante doit se trouver, avec la décision entreprise, dans un rapport suffisamment étroit, spécial et digne d'être pris en considération. Elle doit être touchée dans une mesure et avec une intensité plus grande que l'ensemble des administrés ( ATF 139 II 499 consid. 2.2 p. 504; ATF 138 II 162 consid. 2.1.2 p. 164; ATF 137 II 30 consid. 2.2.2 p. 33). En d'autres termes, l'intérêt invoqué, qui n'est pas nécessairement un intérêt juridiquement protégé, mais qui peut être un intérêt de fait, doit se trouver, avec l'objet de la contestation, dans un rapport étroit, spécial et digne d'être pris en considération ( ATF 142 II 80 consid. 1.4.1 p. 83; ATF 141 II 14 consid. 4.4 p. 29; ATF 140 II 214 consid. 2.1 p. 218). L' art. 6 PA , dont la recourante invoque la violation, régit la qualité de partie, conférant cette qualité notamment aux personnes dont les droits ou les obligations pourraient être touchés par la décision à prendre. On admet qu'une personne qui est légitimée à agir au sens de l' art. 48 PA doit par définition pouvoir bénéficier des droits de partie au sens de l' art. 6 PA (cf. ATF 142 II 451 consid. 3.4.1 p. 457; ATF 129 II 286 consid. 4.3.1 p. 292 s.). Parmi les droits de partie que l'Administration fédérale doit garantir aux personnes habilitées à recourir en matière d'assistance administrative, on peut mentionner le droit d'information (cf. art. 14 al. 2 LAAF ), le droit de participation et celui de consultation des pièces (cf. art. 15 LAAF ).</w:t>
      </w:r>
    </w:p>
    <w:p>
      <w:r>
        <w:rPr>
          <w:b/>
        </w:rPr>
        <w:t>E. 5.2</w:t>
      </w:r>
    </w:p>
    <w:p>
      <w:r>
        <w:t>Pour déterminer si la recourante devait examiner la requête de l'intimé tendant à ce que son nom soit caviardé sur la documentation à transmettre aux autorités américaines, il faut ainsi se demander si l'ex-collaborateur de la Banque pouvait se prévaloir d'un intérêt digne de protection au sens de l' art. 48 PA à ce que cette décision soit supprimée ou modifiée (cf. DONATSCH/HEIMGARTNER/MEYER/SIMONEK, Internationale Rechtshilfe, 2 e éd. 2015, p. 263). Si tel est le cas, l'Administration fédérale ne pouvait refuser d'entrer en matière sur la demande tendant à ce que son nom soit supprimé.</w:t>
      </w:r>
    </w:p>
    <w:p>
      <w:r>
        <w:rPr>
          <w:b/>
        </w:rPr>
        <w:t>E. 5.2.1</w:t>
      </w:r>
    </w:p>
    <w:p>
      <w:r>
        <w:t>L' art. 4 al. 3 LAAF prévoit que la transmission de renseignements concernant des personnes qui ne sont pas concernées par la demande est exclue. Cette phrase a été complétée, au 1 er janvier 2017, BGE 143 II 506 S. 513 par l'ajout suivant: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(RO 2016 5059). Savoir si l' art. 4 al. 3 LAAF dans sa version 2017 est applicable n'a pas à être tranché, dès lors que l'ajout précité ne fait que préciser le sens de l'ancien art. 4 al. 3 LAAF tel qu'il ressortait déjà du message relatif à la version initiale de cette disposition (cf. Message du 5 juin 2015 relatif à l'approbation de la Convention du Conseil de l'Europe et de l'OCDE concernant l'assistance administrative mutuelle en matière fiscale et à sa mise en oeuvre [modification de la loi sur l'assistance administrative fiscale], FF 2015 5134 et Message du 6 juillet 2011 concernant l'adoption d'une loi sur l'assistance administrative [ci-après: Message 2011], FF 2011 5783) et tel qu'il a été interprété par la jurisprudence. En effet, celle-ci n'admet la transmission de noms de tiers non impliqués que si ceux-ci sont vraisemblablement pertinents et leur remise partant proportionnée (cf. ATF 141 II 436 consid. 4.5 p. 446), en sorte que leur caviardage rendrait vide de sens la demande d'assistance administrative (cf. ATF 142 II 161 consid. 4.6.1 p. 180 s.; arrêt 2C_690/2015 du 15 mars 2016 consid. 4.5 en lien avec les prix de transfert). Comme exemple de personnes non concernées dont il est exclu de transmettre les noms en application de l' art. 4 al. 3 LAAF , les employés de banque dont les noms figurent dans la documentation bancaire fournie et qui n'ont rien à voir avec la question fiscale motivant la demande sont régulièrement cités ( ATF 142 II 161 consid. 4.6.1 p. 180 s.; arrêt 2C_690/ 2015 du 15 mars 2016 consid. 4.5). Il en découle qu'en principe l'Administration fédérale doit faire en sorte que les noms des employés de banque soient caviardés de la documentation transmise à l'Etat requérant en vertu de l' art. 4 al. 3 LAAF , sauf si ceux-ci apparaissent, pour un motif ou un autre, vraisemblablement pertinents et leur remise proportionnée. En d'autres termes, si l'Administration fédérale renonce à supprimer les noms des collaborateurs de la banque qui fournit les renseignements, c'est parce qu'elle estime que leur identité est en lien avec la question fiscale formulée dans la demande ou qu'à tout le moins, ce renseignement a une certaine pertinence dans ce cadre qui justifie qu'il ne soit pas biffé. Si tel est le cas, force est de constater que l'employé visé BGE 143 II 506 S. 514 peut faire valoir un intérêt digne de protection au sens de l' art. 48 PA , ne serait-ce que pour vérifier que les autorités suisses ne fournissent pas ses coordonnées en violation de l' art. 4 al. 3 LAAF (cf. CHARLOTTE SCHODER, Praxiskommentar zum StAhiG, 2014, n° 254 ad art. 19 LAAF ). Une possibilité de recours doit donc aussi lui être accordée (cf. art. 19 al. 2 LAAF ; cf. en ce sens Message 2011, FF 2011 5783).</w:t>
      </w:r>
    </w:p>
    <w:p>
      <w:r>
        <w:rPr>
          <w:b/>
        </w:rPr>
        <w:t>E. 5.2.2</w:t>
      </w:r>
    </w:p>
    <w:p>
      <w:r>
        <w:t>Une telle possibilité découle également des exigences de la protection des données, même si l'on peut admettre que l' art. 4 al. 3 LAAF fait fonction de loi spéciale. En effet, les données révélant l'identité des employés de banque tombent sous le coup des données personnelles au sens de l' art. 3 let. a et b LPD et leur transmission constitue une communication visée à l' art. 3 let . f LPD (cf. arrêt 4A_83/2016 du 22 septembre 2016 consid. 3.4.3). L'intimé dispose donc également sous l'angle de la protection des données d'un intérêt digne de protection à ce qu'il soit vérifié que la communication de ses données personnelles soit conforme aux règles légales. Il devrait pouvoir le faire valoir en application de l' art. 25 LPD , dans le cas où la LAAF, en tant que loi spéciale, ne lui conférerait pas un tel droit (cf. en ce sens, SCHODER, op. cit., n° 254 ad art. 9 LAAF ).</w:t>
      </w:r>
    </w:p>
    <w:p>
      <w:r>
        <w:rPr>
          <w:b/>
        </w:rPr>
        <w:t>E. 5.2.3</w:t>
      </w:r>
    </w:p>
    <w:p>
      <w:r>
        <w:t>Dans le cas d'espèce, l'intérêt digne de protection de l'intimé résulte aussi du fait que celui-ci a obtenu d'un juge civil qu'il soit fait interdiction à la Banque de transmettre son nom aux autorités américaines dans le cadre du Programme de régularisation, qui prévoyait que les informations remises incluent notamment celles des employés (cf. à ce sujet, XAVIER OBERSON, Précis de droit fiscal international, 4 e éd. 2015, n. 1246). Or, dans une autre affaire rendue dans ce contexte, la I re Cour civile du Tribunal fédéral a rendu une décision dans laquelle elle a confirmé l'interdiction faite à une banque de livrer des données permettant d'identifier notamment certains collaborateurs au motif que la banque en cause n'avait pas fait valoir un intérêt public suffisant justifiant, sous l'angle de l' art. 6 al. 2 let . d LPD, la transmission de données relatives notamment à certains de ses collaborateurs (arrêt 4A_83/2016 du 22 septembre 2016). Certes, comme l'a constaté à juste titre le Tribunal administratif fédéral, les décisions prises par les juges civils dans le contexte de la remise de documents par les banques elles-mêmes sur la base du Programme de régularisation ne lient pas l'Administration fédérale saisie d'une demande d'assistance administrative fondée sur la CDI CH-US. BGE 143 II 506 S. 515 Toutefois, l'employé qui bénéficie d'une telle protection accordée sur le plan civil a, à tout le moins, un intérêt digne de protection à pouvoir saisir les motifs pour lesquels l'Administration fédérale adopte une position contraire et estime que les mêmes données n'ont pas à être caviardées.</w:t>
      </w:r>
    </w:p>
    <w:p>
      <w:r>
        <w:rPr>
          <w:b/>
        </w:rPr>
        <w:t>E. 5.2.4</w:t>
      </w:r>
    </w:p>
    <w:p>
      <w:r>
        <w:t>Enfin, les explications fournies par l'Administration fédérale dans son recours, bien qu'elles relèvent du fond, sont également révélatrices de la façon dont cette autorité considère l'intimé. Après avoir rappelé qu'en cas de fraude fiscale et de délits semblables, l'art. 26 CDI CH-US exige que seule la transmission des noms de personnes qui manifestement ne sont pas impliquées dans l'affaire doit être refusée, la recourante explique que l'intimé ne peut être considéré comme tel, dès lors qu'il serait présumé avoir aidé la personne concernée à commettre une fraude fiscale ou un délit semblable. Elle souligne ensuite elle-même que "la personne intimée n'est pas un tiers qui n'a manifestement rien à voir avec les agissements faisant l'objet de la demande d'assistance administrative du 20 mai 2015, raison pour laquelle il n'y a pas lieu de caviarder ses données". Cette affirmation démontre à elle seule que l'intimé remplit les conditions de l' art. 48 PA en lien avec la transmission de données permettant de l'identifier.</w:t>
      </w:r>
    </w:p>
    <w:p>
      <w:r>
        <w:rPr>
          <w:b/>
        </w:rPr>
        <w:t>E. 5.3</w:t>
      </w:r>
    </w:p>
    <w:p>
      <w:r>
        <w:t>Enfin, on ne voit pas que le fait de permettre à l'employé de la banque dont l'Administration fédérale entend ne pas caviarder le nom dans la documentation à transmettre d'en être informé et de pouvoir s'en plaindre (cf. art. 14 al. 2 et 19 al. 2 LAAF) entraverait de manière inconsidérée la remise d'informations à laquelle la Suisse s'est engagée en vertu du droit international. Le collaborateur de la banque n'a d'intérêt à agir qu'en lien avec le caviardage des données le concernant et ne saurait remettre en cause l'assistance administrative dans son principe. Cette procédure, dont l'objet est limité, n'est donc pas de nature à empêcher l'assistance administrative fondée sur la CDI CH-US ni à en retarder de manière inconsidérée l'issue. Il est du reste envisageable, si toutes les conditions sont réunies, que les renseignements, avec les noms caviardés, soient remis, jusqu'à droit jugé sur la transmission de ceux-ci.</w:t>
      </w:r>
    </w:p>
    <w:p>
      <w:r>
        <w:rPr>
          <w:b/>
        </w:rPr>
        <w:t>E. 5.4</w:t>
      </w:r>
    </w:p>
    <w:p>
      <w:r>
        <w:t>Les autres objections présentées par la recourante sont infondées.</w:t>
      </w:r>
    </w:p>
    <w:p>
      <w:r>
        <w:rPr>
          <w:b/>
        </w:rPr>
        <w:t>E. 5.4.1</w:t>
      </w:r>
    </w:p>
    <w:p>
      <w:r>
        <w:t>L'Administration fédérale se prévaut de l' ATF 139 II 404 consid. 11.1. Contrairement à ce qu'elle soutient, cette jurisprudence ne permet pas d'en conclure qu'un employé de banque dont le nom ne BGE 143 II 506 S. 516 serait pas caviardé dans le cadre d'une procédure d'assistance administrative internationale en matière fiscale ne devrait pas être informé ni qu'il ne pourrait recourir. Cet arrêt refuse certes d'entrer en matière sur une conclusion prise par les recourants tendant à obliger les autorités à informer les personnes dont les données ne sont pas caviardées, afin que celles-ci puissent s'en plaindre. Toutefois, si la Cour de céans a refusé d'entrer en matière, ce n'est pas parce qu'elle a considéré que les personnes dont les données n'étaient pas caviardées n'avaient pas d'intérêt - question qu'elle n'a pas tranchée -, mais parce que les recourants n'étaient eux-mêmes pas directement concernés et ne pouvaient donc faire valoir les intérêts de tiers sous l'angle de l' art. 89 al. 1 let . c LTF. En l'occurrence, la situation est différente, puisque la personne qui se plaint du non-caviardage de ses données est précisément l'ex-collaborateur de la banque, de sorte qu'il est directement concerné.</w:t>
      </w:r>
    </w:p>
    <w:p>
      <w:r>
        <w:rPr>
          <w:b/>
        </w:rPr>
        <w:t>E. 5.4.2</w:t>
      </w:r>
    </w:p>
    <w:p>
      <w:r>
        <w:t>On ne voit pas davantage que le respect du principe de la spécialité justifie de priver l'intimé de tout droit de procédure garanti par la législation nationale, contrairement à ce qu'affirme la recourante. Il n'est pas contesté que les Etats-Unis se sont engagés à respecter ce principe, qui est expressément décrit à l'art. 26 CDI CH-US, et que l'Administration fédérale a rappelé, conformément à l' art. 20 al. 2 LAAF , dans sa décision du 1 er décembre 2015, soulignant que les renseignements fournis ne pouvaient être utilisés que dans la procédure contre le contribuable visé. Le fait que les tiers dont les noms sont transmis soient en principe protégés par le principe de spécialité, comme le Tribunal fédéral l'a relevé ( ATF 142 II 161 consid. 4.6.1 p. 180 s.), ne justifie pas pour autant de priver ces tiers de tous droits de procédure garantis par le droit interne. Une telle justification reviendrait du reste, comme l'a pertinemment retenu le Tribunal administratif fédéral, à rendre vide de sens l' art. 4 al. 3 LAAF . Elle permettrait à l'Administration fédérale, sous le couvert du principe de spécialité, de renoncer à caviarder les données des collaborateurs des banques détentrices d'information de manière discrétionnaire, sans que les intéressés n'en sachent rien et bien que ceux-ci disposent d'un intérêt digne de protection à ce que les conditions permettant, selon le droit suisse, de transmettre de telles données puissent être contrôlées.</w:t>
      </w:r>
    </w:p>
    <w:p>
      <w:r>
        <w:rPr>
          <w:b/>
        </w:rPr>
        <w:t>E. 5.5</w:t>
      </w:r>
    </w:p>
    <w:p>
      <w:r>
        <w:t>Il en découle que l'arrêt du Tribunal administratif fédéral renvoyant la cause à l'Administration fédérale pour qu'elle entre en BGE 143 II 506 S. 517 matière et rende une décision au sens des considérants procède d'une application correcte des principes et dispositions légales applicables. Le recours doit partant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